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2" w:rsidRPr="00C007E2" w:rsidRDefault="00C007E2" w:rsidP="00C62E7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C007E2">
        <w:rPr>
          <w:rFonts w:ascii="Times New Roman" w:eastAsia="Times New Roman" w:hAnsi="Times New Roman" w:cs="Times New Roman"/>
          <w:b/>
        </w:rPr>
        <w:t>УТВЕРЖДЕНО</w:t>
      </w:r>
    </w:p>
    <w:p w:rsidR="00C62E74" w:rsidRDefault="00C62E74" w:rsidP="00790C47">
      <w:pPr>
        <w:autoSpaceDE w:val="0"/>
        <w:autoSpaceDN w:val="0"/>
        <w:adjustRightInd w:val="0"/>
        <w:spacing w:after="0"/>
        <w:ind w:left="5664"/>
        <w:jc w:val="right"/>
      </w:pPr>
      <w:r>
        <w:t>Решением Совета</w:t>
      </w:r>
    </w:p>
    <w:p w:rsidR="00C62E74" w:rsidRDefault="00C62E74" w:rsidP="00790C47">
      <w:pPr>
        <w:autoSpaceDE w:val="0"/>
        <w:autoSpaceDN w:val="0"/>
        <w:adjustRightInd w:val="0"/>
        <w:spacing w:after="0"/>
        <w:ind w:left="5664"/>
        <w:jc w:val="right"/>
      </w:pPr>
      <w:r>
        <w:t xml:space="preserve">Некоммерческого партнерства                            </w:t>
      </w:r>
    </w:p>
    <w:p w:rsidR="00C62E74" w:rsidRDefault="00C62E74" w:rsidP="00790C47">
      <w:pPr>
        <w:autoSpaceDE w:val="0"/>
        <w:autoSpaceDN w:val="0"/>
        <w:adjustRightInd w:val="0"/>
        <w:spacing w:after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энергоаудиторов</w:t>
      </w:r>
      <w:proofErr w:type="spellEnd"/>
      <w:r>
        <w:t xml:space="preserve"> «</w:t>
      </w:r>
      <w:proofErr w:type="spellStart"/>
      <w:r>
        <w:t>Энергоаудиторы</w:t>
      </w:r>
      <w:proofErr w:type="spellEnd"/>
      <w:r>
        <w:t xml:space="preserve"> </w:t>
      </w:r>
    </w:p>
    <w:p w:rsidR="00C62E74" w:rsidRDefault="00C62E74" w:rsidP="00790C47">
      <w:pPr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                                            </w:t>
      </w:r>
      <w:r w:rsidRPr="00C62E74">
        <w:t xml:space="preserve">                   </w:t>
      </w:r>
      <w:r>
        <w:t xml:space="preserve">   железнодорожных комплексов»                                                                                                      </w:t>
      </w:r>
    </w:p>
    <w:p w:rsidR="00C62E74" w:rsidRDefault="00C62E74" w:rsidP="00790C47">
      <w:pPr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                                           </w:t>
      </w:r>
      <w:r w:rsidRPr="00C62E74">
        <w:t xml:space="preserve">                    </w:t>
      </w:r>
      <w:r>
        <w:t xml:space="preserve">   Протокол № 1                                 </w:t>
      </w:r>
    </w:p>
    <w:p w:rsidR="00C62E74" w:rsidRPr="00C62E74" w:rsidRDefault="00C62E74" w:rsidP="00790C47">
      <w:pPr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                                             </w:t>
      </w:r>
      <w:r w:rsidRPr="00C62E74">
        <w:t xml:space="preserve">                   </w:t>
      </w:r>
      <w:r>
        <w:t xml:space="preserve">  от «01» марта 2011 г.</w:t>
      </w:r>
    </w:p>
    <w:p w:rsidR="00C62E74" w:rsidRDefault="00C62E74" w:rsidP="00790C47">
      <w:pPr>
        <w:pStyle w:val="a6"/>
        <w:ind w:left="4956"/>
        <w:jc w:val="right"/>
        <w:rPr>
          <w:b w:val="0"/>
          <w:bCs w:val="0"/>
          <w:color w:val="FFFFFF"/>
        </w:rPr>
      </w:pPr>
      <w:r>
        <w:rPr>
          <w:rFonts w:ascii="Arial Narrow" w:hAnsi="Arial Narrow" w:cs="Arial Narrow"/>
          <w:b w:val="0"/>
          <w:bCs w:val="0"/>
          <w:color w:val="FFFFFF"/>
          <w:sz w:val="24"/>
          <w:szCs w:val="24"/>
        </w:rPr>
        <w:t xml:space="preserve">________________ </w:t>
      </w:r>
      <w:r>
        <w:rPr>
          <w:rFonts w:ascii="Arial Narrow" w:hAnsi="Arial Narrow" w:cs="Arial Narrow"/>
          <w:bCs w:val="0"/>
          <w:color w:val="FFFFFF"/>
          <w:sz w:val="24"/>
          <w:szCs w:val="24"/>
        </w:rPr>
        <w:t>(Мухин Ю.Г.)</w:t>
      </w:r>
    </w:p>
    <w:p w:rsidR="00C62E74" w:rsidRPr="00790C47" w:rsidRDefault="00C62E74" w:rsidP="00C62E74">
      <w:pPr>
        <w:pStyle w:val="1"/>
        <w:spacing w:line="240" w:lineRule="auto"/>
        <w:jc w:val="left"/>
        <w:rPr>
          <w:rFonts w:ascii="Times New Roman" w:hAnsi="Times New Roman"/>
        </w:rPr>
      </w:pPr>
    </w:p>
    <w:p w:rsidR="00C62E74" w:rsidRDefault="00C62E74" w:rsidP="00C62E74"/>
    <w:p w:rsidR="00C62E74" w:rsidRDefault="00C62E74" w:rsidP="00C62E74">
      <w:pPr>
        <w:pStyle w:val="1"/>
        <w:spacing w:line="240" w:lineRule="auto"/>
        <w:jc w:val="center"/>
        <w:rPr>
          <w:rFonts w:ascii="Times New Roman" w:hAnsi="Times New Roman"/>
        </w:rPr>
      </w:pPr>
    </w:p>
    <w:p w:rsidR="00C62E74" w:rsidRDefault="00C62E74" w:rsidP="00C62E74">
      <w:pPr>
        <w:pStyle w:val="1"/>
        <w:spacing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НЕКОММЕРЧЕСКОЕ ПАРТНЕРСТВО</w:t>
      </w:r>
    </w:p>
    <w:p w:rsidR="00C62E74" w:rsidRDefault="00C62E74" w:rsidP="00C62E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ЭНЕРГОАУДИТОРОВ</w:t>
      </w:r>
    </w:p>
    <w:p w:rsidR="00C007E2" w:rsidRPr="00790C47" w:rsidRDefault="00C62E74" w:rsidP="00C62E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Энергоаудиторы</w:t>
      </w:r>
      <w:proofErr w:type="spellEnd"/>
      <w:r>
        <w:rPr>
          <w:b/>
          <w:sz w:val="32"/>
          <w:szCs w:val="32"/>
        </w:rPr>
        <w:t xml:space="preserve"> железнодорожных комплексов»</w:t>
      </w: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007E2">
        <w:rPr>
          <w:rFonts w:ascii="Times New Roman" w:hAnsi="Times New Roman" w:cs="Times New Roman"/>
          <w:b/>
          <w:color w:val="000000"/>
          <w:sz w:val="40"/>
          <w:szCs w:val="40"/>
        </w:rPr>
        <w:t>Правила саморегулирования</w:t>
      </w: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790C47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E74" w:rsidRPr="00790C47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007E2" w:rsidRP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007E2" w:rsidRPr="00C62E74" w:rsidRDefault="00C62E74" w:rsidP="00C007E2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Санкт-Петербург</w:t>
      </w:r>
    </w:p>
    <w:p w:rsid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007E2" w:rsidRDefault="00C007E2" w:rsidP="00C007E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007E2" w:rsidRPr="006C4DA8" w:rsidRDefault="00C007E2" w:rsidP="00C007E2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0"/>
        </w:rPr>
      </w:pPr>
      <w:r w:rsidRPr="006C4DA8">
        <w:rPr>
          <w:rFonts w:eastAsia="Times New Roman" w:cs="Times New Roman"/>
          <w:b/>
          <w:color w:val="000000"/>
          <w:sz w:val="28"/>
          <w:szCs w:val="20"/>
        </w:rPr>
        <w:t>Общие положения</w:t>
      </w:r>
    </w:p>
    <w:p w:rsidR="00000048" w:rsidRDefault="00000048" w:rsidP="00C007E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>
        <w:t xml:space="preserve">1.1 </w:t>
      </w:r>
      <w:r w:rsidR="00C007E2" w:rsidRPr="007A5B34">
        <w:rPr>
          <w:rFonts w:ascii="Calibri" w:eastAsia="Times New Roman" w:hAnsi="Calibri" w:cs="Times New Roman"/>
        </w:rPr>
        <w:t>Настоящие Правила саморегулирования разработаны</w:t>
      </w:r>
      <w:r w:rsidR="00C007E2">
        <w:rPr>
          <w:rFonts w:ascii="Calibri" w:eastAsia="Times New Roman" w:hAnsi="Calibri" w:cs="Times New Roman"/>
        </w:rPr>
        <w:t xml:space="preserve"> </w:t>
      </w:r>
      <w:r w:rsidR="00C007E2" w:rsidRPr="007A5B34">
        <w:rPr>
          <w:rFonts w:ascii="Calibri" w:eastAsia="Times New Roman" w:hAnsi="Calibri" w:cs="Times New Roman"/>
        </w:rPr>
        <w:t xml:space="preserve"> в </w:t>
      </w:r>
      <w:r w:rsidR="00C007E2">
        <w:rPr>
          <w:rFonts w:ascii="Calibri" w:eastAsia="Times New Roman" w:hAnsi="Calibri" w:cs="Times New Roman"/>
        </w:rPr>
        <w:t xml:space="preserve"> </w:t>
      </w:r>
      <w:r w:rsidR="00C007E2" w:rsidRPr="007A5B34">
        <w:rPr>
          <w:rFonts w:ascii="Calibri" w:eastAsia="Times New Roman" w:hAnsi="Calibri" w:cs="Times New Roman"/>
        </w:rPr>
        <w:t xml:space="preserve">соответствии </w:t>
      </w:r>
      <w:r w:rsidR="00C007E2">
        <w:rPr>
          <w:rFonts w:ascii="Calibri" w:eastAsia="Times New Roman" w:hAnsi="Calibri" w:cs="Times New Roman"/>
        </w:rPr>
        <w:t xml:space="preserve">  </w:t>
      </w:r>
      <w:r>
        <w:t xml:space="preserve">с </w:t>
      </w:r>
      <w:r w:rsidRPr="007A5B34">
        <w:rPr>
          <w:rFonts w:ascii="Calibri" w:eastAsia="Times New Roman" w:hAnsi="Calibri" w:cs="Times New Roman"/>
          <w:color w:val="000000"/>
        </w:rPr>
        <w:t>Федеральным</w:t>
      </w:r>
      <w:r>
        <w:rPr>
          <w:rFonts w:ascii="Calibri" w:eastAsia="Times New Roman" w:hAnsi="Calibri" w:cs="Times New Roman"/>
          <w:color w:val="000000"/>
        </w:rPr>
        <w:t xml:space="preserve">   З</w:t>
      </w:r>
      <w:r w:rsidRPr="007A5B34">
        <w:rPr>
          <w:rFonts w:ascii="Calibri" w:eastAsia="Times New Roman" w:hAnsi="Calibri" w:cs="Times New Roman"/>
          <w:color w:val="000000"/>
        </w:rPr>
        <w:t>аконом</w:t>
      </w:r>
      <w:r>
        <w:rPr>
          <w:rFonts w:ascii="Calibri" w:eastAsia="Times New Roman" w:hAnsi="Calibri" w:cs="Times New Roman"/>
          <w:color w:val="000000"/>
        </w:rPr>
        <w:t xml:space="preserve"> от 1 декабря 2007 </w:t>
      </w:r>
      <w:r w:rsidRPr="007A5B34">
        <w:rPr>
          <w:rFonts w:ascii="Calibri" w:eastAsia="Times New Roman" w:hAnsi="Calibri" w:cs="Times New Roman"/>
          <w:color w:val="000000"/>
        </w:rPr>
        <w:t xml:space="preserve">года </w:t>
      </w:r>
      <w:r>
        <w:rPr>
          <w:rFonts w:ascii="Calibri" w:eastAsia="Times New Roman" w:hAnsi="Calibri" w:cs="Times New Roman"/>
          <w:color w:val="000000"/>
        </w:rPr>
        <w:t xml:space="preserve">N </w:t>
      </w:r>
      <w:r w:rsidRPr="007A5B34">
        <w:rPr>
          <w:rFonts w:ascii="Calibri" w:eastAsia="Times New Roman" w:hAnsi="Calibri" w:cs="Times New Roman"/>
          <w:color w:val="000000"/>
        </w:rPr>
        <w:t>315-Ф3 "О саморегулируемых организациях"</w:t>
      </w:r>
      <w:r>
        <w:rPr>
          <w:rFonts w:ascii="Calibri" w:eastAsia="Times New Roman" w:hAnsi="Calibri" w:cs="Times New Roman"/>
          <w:color w:val="000000"/>
        </w:rPr>
        <w:t>, положениями Градостроительного кодекс</w:t>
      </w:r>
      <w:r>
        <w:rPr>
          <w:color w:val="000000"/>
        </w:rPr>
        <w:t>а</w:t>
      </w:r>
      <w:r>
        <w:rPr>
          <w:rFonts w:ascii="Calibri" w:eastAsia="Times New Roman" w:hAnsi="Calibri" w:cs="Times New Roman"/>
          <w:color w:val="000000"/>
        </w:rPr>
        <w:t xml:space="preserve"> Российской Федерации</w:t>
      </w:r>
      <w:r w:rsidR="00C007E2">
        <w:rPr>
          <w:rFonts w:ascii="Calibri" w:eastAsia="Times New Roman" w:hAnsi="Calibri" w:cs="Times New Roman"/>
          <w:color w:val="000000"/>
        </w:rPr>
        <w:t xml:space="preserve">, Уставом </w:t>
      </w:r>
      <w:r w:rsidR="00C007E2">
        <w:rPr>
          <w:rFonts w:ascii="Calibri" w:eastAsia="Times New Roman" w:hAnsi="Calibri" w:cs="Times New Roman"/>
        </w:rPr>
        <w:t>Партнерства</w:t>
      </w:r>
      <w:r>
        <w:t>.</w:t>
      </w:r>
    </w:p>
    <w:p w:rsidR="00C007E2" w:rsidRDefault="00000048" w:rsidP="00C007E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>
        <w:t xml:space="preserve">1.2 Данные правила </w:t>
      </w:r>
      <w:r w:rsidR="00C007E2" w:rsidRPr="00BC34C6">
        <w:rPr>
          <w:rFonts w:ascii="Calibri" w:eastAsia="Times New Roman" w:hAnsi="Calibri" w:cs="Times New Roman"/>
        </w:rPr>
        <w:t xml:space="preserve"> </w:t>
      </w:r>
      <w:r>
        <w:t>устанавливают требования к предпринимательской деятельности членов Партнерства, за исключением требований, установленных законодательством Российской Федерации о техническом регулировании.</w:t>
      </w:r>
    </w:p>
    <w:p w:rsidR="0095263E" w:rsidRPr="0095263E" w:rsidRDefault="0095263E" w:rsidP="00AC7258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b/>
          <w:sz w:val="28"/>
        </w:rPr>
      </w:pPr>
      <w:r w:rsidRPr="0095263E">
        <w:rPr>
          <w:b/>
          <w:sz w:val="28"/>
        </w:rPr>
        <w:t>Требования обязательные для выполнения членами Партнерства.</w:t>
      </w:r>
    </w:p>
    <w:p w:rsidR="0095263E" w:rsidRPr="0095263E" w:rsidRDefault="0095263E" w:rsidP="0095263E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rPr>
          <w:b/>
        </w:rPr>
      </w:pPr>
    </w:p>
    <w:p w:rsidR="00AC7258" w:rsidRPr="006C4DA8" w:rsidRDefault="0095263E" w:rsidP="001337FE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0"/>
        <w:rPr>
          <w:b/>
        </w:rPr>
      </w:pPr>
      <w:r w:rsidRPr="006C4DA8">
        <w:rPr>
          <w:b/>
        </w:rPr>
        <w:t>2.1 Требования о страховании членами Партнерства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9E3460" w:rsidRPr="006C4DA8" w:rsidRDefault="009E3460" w:rsidP="009E3460">
      <w:pPr>
        <w:spacing w:after="0" w:line="360" w:lineRule="auto"/>
        <w:jc w:val="both"/>
        <w:rPr>
          <w:color w:val="000000"/>
        </w:rPr>
      </w:pPr>
      <w:r w:rsidRPr="006C4DA8">
        <w:rPr>
          <w:color w:val="000000"/>
        </w:rPr>
        <w:t xml:space="preserve">2.1.1 Члены Партнерства обязаны страховать гражданскую ответственность за причинение вреда вследствие недостатков работ, которые оказывают влияние на безопасность объектов капитального строительства.  </w:t>
      </w:r>
    </w:p>
    <w:p w:rsidR="009E3460" w:rsidRPr="006C4DA8" w:rsidRDefault="009E3460" w:rsidP="009E346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color w:val="000000"/>
        </w:rPr>
      </w:pPr>
      <w:r w:rsidRPr="006C4DA8">
        <w:rPr>
          <w:color w:val="000000"/>
        </w:rPr>
        <w:t>2.1.2 Лицу, принятому в члены саморегулируемой организации, выдается свидетельство о допуске к определенному виду или видам работ, которые оказывают влияние на безопасность объектов капитального строительства, в срок не позднее чем в течение трех рабочих дней после дня принятия соответствующего решения, уплаты вступительного взноса и взноса в компенсационный фонд саморегулируемой организации.</w:t>
      </w:r>
    </w:p>
    <w:p w:rsidR="009E3460" w:rsidRPr="006C4DA8" w:rsidRDefault="009E3460" w:rsidP="009E3460">
      <w:pPr>
        <w:spacing w:after="0" w:line="360" w:lineRule="auto"/>
        <w:jc w:val="both"/>
        <w:rPr>
          <w:color w:val="000000"/>
        </w:rPr>
      </w:pPr>
      <w:r w:rsidRPr="006C4DA8">
        <w:rPr>
          <w:color w:val="000000"/>
        </w:rPr>
        <w:t xml:space="preserve">2.1.5 Член Партнерства должен застраховать свою гражданскую ответственность,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в течение трех дней </w:t>
      </w:r>
      <w:proofErr w:type="gramStart"/>
      <w:r w:rsidRPr="006C4DA8">
        <w:rPr>
          <w:color w:val="000000"/>
        </w:rPr>
        <w:t>с даты вступления</w:t>
      </w:r>
      <w:proofErr w:type="gramEnd"/>
      <w:r w:rsidRPr="006C4DA8">
        <w:rPr>
          <w:color w:val="000000"/>
        </w:rPr>
        <w:t xml:space="preserve"> в члены Партнерства. </w:t>
      </w:r>
    </w:p>
    <w:p w:rsidR="009E3460" w:rsidRPr="006C4DA8" w:rsidRDefault="009E3460" w:rsidP="001337FE">
      <w:pPr>
        <w:spacing w:after="0" w:line="360" w:lineRule="auto"/>
        <w:jc w:val="both"/>
        <w:rPr>
          <w:color w:val="000000"/>
        </w:rPr>
      </w:pPr>
      <w:r w:rsidRPr="006C4DA8">
        <w:rPr>
          <w:color w:val="000000"/>
        </w:rPr>
        <w:t>2.1.6 Партнерством может быть заключен договор коллективного страхования со страховой компанией. В этом случае Партнерство выступает в качестве Страхователя.</w:t>
      </w:r>
      <w:r w:rsidRPr="006C4DA8">
        <w:t xml:space="preserve">              Действие договора коллективного страхования должно распространяться на страхование гражданской </w:t>
      </w:r>
      <w:r w:rsidRPr="00C025AF">
        <w:t>ответственности при выполнении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</w:t>
      </w:r>
      <w:r w:rsidRPr="006C4DA8">
        <w:t xml:space="preserve"> выполняемых юридическими лицами или индивидуальными предпринимателями (членами Партнерства) на основании выданного Партнерством свидетельства о допуске к таким видам работ. </w:t>
      </w:r>
      <w:r w:rsidR="00C025AF" w:rsidRPr="006C4DA8">
        <w:t>Застрахованная</w:t>
      </w:r>
      <w:r w:rsidRPr="006C4DA8">
        <w:t xml:space="preserve"> сумма на каждого члена партнерства имеющего свидетельство о допуске к определенным видам </w:t>
      </w:r>
      <w:proofErr w:type="gramStart"/>
      <w:r w:rsidRPr="006C4DA8">
        <w:t>работ</w:t>
      </w:r>
      <w:proofErr w:type="gramEnd"/>
      <w:r w:rsidRPr="006C4DA8">
        <w:t xml:space="preserve"> влияющим на безопасность объектов капитального строительства выданное Партнерством должна быть не  менее минимальной суммы установленной настоящими Правилами саморегулирования и </w:t>
      </w:r>
      <w:r w:rsidRPr="006C4DA8">
        <w:lastRenderedPageBreak/>
        <w:t xml:space="preserve">законодательством РФ. Партнерство вправе устанавливать дополнительные членские взносы для своих членов связанные с  расходами Партнерства при поддержании договорных взаимоотношений со страховой компанией. </w:t>
      </w:r>
    </w:p>
    <w:p w:rsidR="009E3460" w:rsidRPr="006C4DA8" w:rsidRDefault="009E3460" w:rsidP="001337FE">
      <w:pPr>
        <w:spacing w:after="0" w:line="360" w:lineRule="auto"/>
        <w:ind w:firstLine="708"/>
        <w:jc w:val="both"/>
        <w:rPr>
          <w:color w:val="000000"/>
        </w:rPr>
      </w:pPr>
      <w:r w:rsidRPr="006C4DA8">
        <w:rPr>
          <w:color w:val="000000"/>
        </w:rPr>
        <w:t>Член партнерства вправе сам выбирать способ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proofErr w:type="gramStart"/>
      <w:r w:rsidRPr="006C4DA8">
        <w:rPr>
          <w:color w:val="000000"/>
        </w:rPr>
        <w:t>.</w:t>
      </w:r>
      <w:proofErr w:type="gramEnd"/>
      <w:r w:rsidRPr="006C4DA8">
        <w:rPr>
          <w:color w:val="000000"/>
        </w:rPr>
        <w:t xml:space="preserve"> (</w:t>
      </w:r>
      <w:proofErr w:type="gramStart"/>
      <w:r w:rsidRPr="006C4DA8">
        <w:rPr>
          <w:color w:val="000000"/>
        </w:rPr>
        <w:t>п</w:t>
      </w:r>
      <w:proofErr w:type="gramEnd"/>
      <w:r w:rsidRPr="006C4DA8">
        <w:rPr>
          <w:color w:val="000000"/>
        </w:rPr>
        <w:t>о договору коллективного страхования заключенному Партнерством со страховой компанией или  по индивидуальному договору страхования заключенному членом Партнерства со страховой компанией)</w:t>
      </w:r>
    </w:p>
    <w:p w:rsidR="009E3460" w:rsidRPr="006C4DA8" w:rsidRDefault="00C62E74" w:rsidP="009E34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2.1.7</w:t>
      </w:r>
      <w:r w:rsidR="009E3460" w:rsidRPr="006C4DA8">
        <w:rPr>
          <w:color w:val="000000"/>
        </w:rPr>
        <w:t xml:space="preserve"> </w:t>
      </w:r>
      <w:r>
        <w:rPr>
          <w:color w:val="000000"/>
        </w:rPr>
        <w:t>Ч</w:t>
      </w:r>
      <w:r w:rsidR="009E3460" w:rsidRPr="006C4DA8">
        <w:rPr>
          <w:color w:val="000000"/>
        </w:rPr>
        <w:t>лен Партнерства обязан внести взнос в компенсационный фонд Партнерства, в соответствии с требования</w:t>
      </w:r>
      <w:r>
        <w:rPr>
          <w:color w:val="000000"/>
        </w:rPr>
        <w:t>ми, установленными Партнерством – 10000 рублей.</w:t>
      </w:r>
    </w:p>
    <w:p w:rsidR="009E3460" w:rsidRPr="006C4DA8" w:rsidRDefault="00BF2E2A" w:rsidP="009E346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2.1.8</w:t>
      </w:r>
      <w:r w:rsidR="009E3460" w:rsidRPr="006C4DA8">
        <w:rPr>
          <w:color w:val="000000"/>
        </w:rPr>
        <w:t xml:space="preserve"> Доказательства о соответствии требованиям действующего законодательства направляются в Партнерство в виде документов на бумажном носителе или по электронной почте.</w:t>
      </w:r>
    </w:p>
    <w:p w:rsidR="009E3460" w:rsidRPr="006C4DA8" w:rsidRDefault="009E3460" w:rsidP="009E3460">
      <w:pPr>
        <w:spacing w:after="0" w:line="360" w:lineRule="auto"/>
        <w:jc w:val="both"/>
        <w:rPr>
          <w:color w:val="000000"/>
        </w:rPr>
      </w:pPr>
      <w:r w:rsidRPr="006C4DA8">
        <w:rPr>
          <w:color w:val="000000"/>
        </w:rPr>
        <w:t>2.1.15 После получения доказательств от члена Партнерства, Партнерство производит анализ, в соответствии с требованиями Партнерства и законодательством 15- ФЗ «О саморегулируемых организациях», иных законов и подзаконных актов, настоящего требования. Документы проверяются Партнерством и возвращаются члену Партнерства, поскольку хранение в Партнерстве подобных документов</w:t>
      </w:r>
      <w:r w:rsidR="006C4DA8" w:rsidRPr="006C4DA8">
        <w:rPr>
          <w:color w:val="000000"/>
        </w:rPr>
        <w:t xml:space="preserve"> законодательством</w:t>
      </w:r>
      <w:r w:rsidRPr="006C4DA8">
        <w:rPr>
          <w:color w:val="000000"/>
        </w:rPr>
        <w:t xml:space="preserve"> не предусмотрено. </w:t>
      </w:r>
    </w:p>
    <w:p w:rsidR="00C007E2" w:rsidRDefault="00C007E2" w:rsidP="0095263E">
      <w:pPr>
        <w:pStyle w:val="a3"/>
        <w:rPr>
          <w:rFonts w:ascii="Times New Roman" w:hAnsi="Times New Roman" w:cs="Times New Roman"/>
          <w:b/>
          <w:color w:val="000000"/>
        </w:rPr>
      </w:pPr>
    </w:p>
    <w:p w:rsidR="00C007E2" w:rsidRPr="006C4DA8" w:rsidRDefault="00652362" w:rsidP="00652362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000000"/>
          <w:sz w:val="28"/>
          <w:szCs w:val="28"/>
        </w:rPr>
      </w:pPr>
      <w:r w:rsidRPr="006C4DA8">
        <w:rPr>
          <w:rFonts w:asciiTheme="minorHAnsi" w:hAnsiTheme="minorHAnsi" w:cs="Times New Roman"/>
          <w:b/>
          <w:color w:val="000000"/>
          <w:sz w:val="28"/>
          <w:szCs w:val="28"/>
        </w:rPr>
        <w:t>Ответственность</w:t>
      </w:r>
    </w:p>
    <w:p w:rsidR="00652362" w:rsidRPr="006C4DA8" w:rsidRDefault="00652362" w:rsidP="00652362">
      <w:pPr>
        <w:pStyle w:val="a5"/>
        <w:numPr>
          <w:ilvl w:val="1"/>
          <w:numId w:val="4"/>
        </w:numPr>
        <w:spacing w:after="0" w:line="360" w:lineRule="auto"/>
        <w:jc w:val="both"/>
      </w:pPr>
      <w:r w:rsidRPr="006C4DA8">
        <w:t>Исполнение требований настоящих Правил саморегулирования является обязательным для членов Партнерства. В отношении членов Партнерства, не исполняющих настоящие требования, могут быть применены меры дисциплинарного воздейств</w:t>
      </w:r>
      <w:r w:rsidR="006C4DA8" w:rsidRPr="006C4DA8">
        <w:t>ия, установленные Партнерством</w:t>
      </w:r>
      <w:r w:rsidR="006C4DA8">
        <w:t>,</w:t>
      </w:r>
      <w:r w:rsidR="006C4DA8" w:rsidRPr="006C4DA8">
        <w:t xml:space="preserve"> в том числе исключение из членов Партнерства.</w:t>
      </w:r>
    </w:p>
    <w:p w:rsidR="00C007E2" w:rsidRDefault="00C007E2" w:rsidP="00C007E2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007E2" w:rsidRPr="006C4DA8" w:rsidRDefault="00652362" w:rsidP="00652362">
      <w:pPr>
        <w:pStyle w:val="a3"/>
        <w:numPr>
          <w:ilvl w:val="0"/>
          <w:numId w:val="1"/>
        </w:numPr>
        <w:jc w:val="center"/>
        <w:rPr>
          <w:rFonts w:asciiTheme="minorHAnsi" w:hAnsiTheme="minorHAnsi" w:cs="Times New Roman"/>
          <w:b/>
          <w:color w:val="000000"/>
          <w:sz w:val="28"/>
          <w:szCs w:val="28"/>
        </w:rPr>
      </w:pPr>
      <w:r w:rsidRPr="006C4DA8">
        <w:rPr>
          <w:rFonts w:asciiTheme="minorHAnsi" w:hAnsiTheme="minorHAnsi" w:cs="Times New Roman"/>
          <w:b/>
          <w:color w:val="000000"/>
          <w:sz w:val="28"/>
          <w:szCs w:val="28"/>
        </w:rPr>
        <w:t>Заключительные положения.</w:t>
      </w:r>
    </w:p>
    <w:p w:rsidR="00652362" w:rsidRDefault="00652362" w:rsidP="00652362">
      <w:pPr>
        <w:pStyle w:val="a3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362" w:rsidRPr="006C4DA8" w:rsidRDefault="00652362" w:rsidP="00652362">
      <w:pPr>
        <w:pStyle w:val="a3"/>
        <w:jc w:val="both"/>
        <w:rPr>
          <w:rFonts w:asciiTheme="minorHAnsi" w:hAnsiTheme="minorHAnsi" w:cs="Times New Roman"/>
          <w:sz w:val="22"/>
          <w:szCs w:val="22"/>
        </w:rPr>
      </w:pPr>
      <w:r w:rsidRPr="006C4DA8">
        <w:rPr>
          <w:rFonts w:asciiTheme="minorHAnsi" w:hAnsiTheme="minorHAnsi" w:cs="Times New Roman"/>
          <w:sz w:val="22"/>
          <w:szCs w:val="22"/>
        </w:rPr>
        <w:t>4.1. Настоящие  Правила   саморегулирования   принимаются  Общим собранием членов Партнерства и вступают в силу через десять дней после их утверждения.</w:t>
      </w:r>
    </w:p>
    <w:p w:rsidR="00652362" w:rsidRPr="006C4DA8" w:rsidRDefault="00652362" w:rsidP="00652362">
      <w:pPr>
        <w:pStyle w:val="a3"/>
        <w:rPr>
          <w:rFonts w:asciiTheme="minorHAnsi" w:hAnsiTheme="minorHAnsi" w:cs="Times New Roman"/>
          <w:sz w:val="22"/>
          <w:szCs w:val="22"/>
        </w:rPr>
      </w:pPr>
    </w:p>
    <w:p w:rsidR="00652362" w:rsidRPr="00652362" w:rsidRDefault="00652362" w:rsidP="00652362">
      <w:pPr>
        <w:pStyle w:val="a3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362" w:rsidRDefault="00652362" w:rsidP="00652362">
      <w:pPr>
        <w:pStyle w:val="a3"/>
        <w:ind w:left="360"/>
        <w:rPr>
          <w:rFonts w:ascii="Times New Roman" w:hAnsi="Times New Roman" w:cs="Times New Roman"/>
          <w:b/>
          <w:color w:val="000000"/>
        </w:rPr>
      </w:pPr>
    </w:p>
    <w:sectPr w:rsidR="00652362" w:rsidSect="00E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BF0"/>
    <w:multiLevelType w:val="hybridMultilevel"/>
    <w:tmpl w:val="1FCA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2D76"/>
    <w:multiLevelType w:val="multilevel"/>
    <w:tmpl w:val="8F8093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7046D0E"/>
    <w:multiLevelType w:val="multilevel"/>
    <w:tmpl w:val="0C0A2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1D41C55"/>
    <w:multiLevelType w:val="multilevel"/>
    <w:tmpl w:val="42F2C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7E2"/>
    <w:rsid w:val="00000048"/>
    <w:rsid w:val="0005507A"/>
    <w:rsid w:val="001337FE"/>
    <w:rsid w:val="0047502A"/>
    <w:rsid w:val="00583623"/>
    <w:rsid w:val="00601B34"/>
    <w:rsid w:val="00652362"/>
    <w:rsid w:val="006C4DA8"/>
    <w:rsid w:val="00790C47"/>
    <w:rsid w:val="0095263E"/>
    <w:rsid w:val="009E3460"/>
    <w:rsid w:val="009E6EF6"/>
    <w:rsid w:val="00AC7258"/>
    <w:rsid w:val="00B67AEC"/>
    <w:rsid w:val="00BF2E2A"/>
    <w:rsid w:val="00C007E2"/>
    <w:rsid w:val="00C025AF"/>
    <w:rsid w:val="00C62E74"/>
    <w:rsid w:val="00D979C8"/>
    <w:rsid w:val="00E7321A"/>
    <w:rsid w:val="00E82A5C"/>
    <w:rsid w:val="00F31FDC"/>
    <w:rsid w:val="00FA23E1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C"/>
  </w:style>
  <w:style w:type="paragraph" w:styleId="1">
    <w:name w:val="heading 1"/>
    <w:basedOn w:val="a"/>
    <w:next w:val="a"/>
    <w:link w:val="10"/>
    <w:qFormat/>
    <w:rsid w:val="00C62E74"/>
    <w:pPr>
      <w:keepNext/>
      <w:spacing w:after="0" w:line="360" w:lineRule="auto"/>
      <w:jc w:val="right"/>
      <w:outlineLvl w:val="0"/>
    </w:pPr>
    <w:rPr>
      <w:rFonts w:ascii="Arial" w:eastAsia="Times New Roman" w:hAnsi="Arial" w:cs="Arial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62E74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07E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007E2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007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2E74"/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62E7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C62E74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color w:val="003399"/>
      <w:sz w:val="18"/>
      <w:szCs w:val="20"/>
      <w:lang w:eastAsia="zh-TW"/>
    </w:rPr>
  </w:style>
  <w:style w:type="character" w:customStyle="1" w:styleId="a7">
    <w:name w:val="Название Знак"/>
    <w:basedOn w:val="a0"/>
    <w:link w:val="a6"/>
    <w:rsid w:val="00C62E74"/>
    <w:rPr>
      <w:rFonts w:ascii="Times New Roman" w:eastAsia="PMingLiU" w:hAnsi="Times New Roman" w:cs="Times New Roman"/>
      <w:b/>
      <w:bCs/>
      <w:color w:val="003399"/>
      <w:sz w:val="18"/>
      <w:szCs w:val="20"/>
      <w:lang w:eastAsia="zh-TW"/>
    </w:rPr>
  </w:style>
  <w:style w:type="paragraph" w:styleId="a8">
    <w:name w:val="No Spacing"/>
    <w:uiPriority w:val="1"/>
    <w:qFormat/>
    <w:rsid w:val="00C62E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3</cp:revision>
  <cp:lastPrinted>2014-09-29T07:38:00Z</cp:lastPrinted>
  <dcterms:created xsi:type="dcterms:W3CDTF">2014-12-22T13:52:00Z</dcterms:created>
  <dcterms:modified xsi:type="dcterms:W3CDTF">2014-12-23T06:54:00Z</dcterms:modified>
</cp:coreProperties>
</file>